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C5C5B" w14:textId="77777777" w:rsidR="00AF5877" w:rsidRDefault="005C6630" w:rsidP="00AF5877">
      <w:pPr>
        <w:jc w:val="center"/>
        <w:rPr>
          <w:sz w:val="36"/>
          <w:szCs w:val="36"/>
        </w:rPr>
      </w:pPr>
      <w:r w:rsidRPr="00AF5877">
        <w:rPr>
          <w:rFonts w:hint="eastAsia"/>
          <w:sz w:val="36"/>
          <w:szCs w:val="36"/>
          <w:lang w:eastAsia="zh-TW"/>
        </w:rPr>
        <w:t xml:space="preserve">A Brief Model of the Common-mode Excitation </w:t>
      </w:r>
    </w:p>
    <w:p w14:paraId="43BFD14C" w14:textId="77777777" w:rsidR="005C6630" w:rsidRPr="00AF5877" w:rsidRDefault="005C6630" w:rsidP="00AF5877">
      <w:pPr>
        <w:jc w:val="center"/>
        <w:rPr>
          <w:sz w:val="36"/>
          <w:szCs w:val="36"/>
          <w:lang w:eastAsia="zh-TW"/>
        </w:rPr>
      </w:pPr>
      <w:r w:rsidRPr="00AF5877">
        <w:rPr>
          <w:rFonts w:hint="eastAsia"/>
          <w:sz w:val="36"/>
          <w:szCs w:val="36"/>
          <w:lang w:eastAsia="zh-TW"/>
        </w:rPr>
        <w:t xml:space="preserve">in </w:t>
      </w:r>
      <w:r w:rsidR="008F3F16" w:rsidRPr="00AF5877">
        <w:rPr>
          <w:rFonts w:hint="eastAsia"/>
          <w:sz w:val="36"/>
          <w:szCs w:val="36"/>
          <w:lang w:eastAsia="zh-TW"/>
        </w:rPr>
        <w:t>Imbalanced</w:t>
      </w:r>
      <w:r w:rsidRPr="00AF5877">
        <w:rPr>
          <w:sz w:val="36"/>
          <w:szCs w:val="36"/>
          <w:lang w:eastAsia="zh-TW"/>
        </w:rPr>
        <w:t xml:space="preserve"> Transmission Lines</w:t>
      </w:r>
    </w:p>
    <w:p w14:paraId="30CD19F7" w14:textId="77777777" w:rsidR="00711944" w:rsidRDefault="00273E70">
      <w:pPr>
        <w:rPr>
          <w:lang w:eastAsia="zh-TW"/>
        </w:rPr>
      </w:pPr>
      <w:r>
        <w:rPr>
          <w:noProof/>
        </w:rPr>
        <w:pict w14:anchorId="75C9A451">
          <v:shapetype id="_x0000_t202" coordsize="21600,21600" o:spt="202" path="m,l,21600r21600,l21600,xe">
            <v:stroke joinstyle="miter"/>
            <v:path gradientshapeok="t" o:connecttype="rect"/>
          </v:shapetype>
          <v:shape id="_x0000_s1026" type="#_x0000_t202" style="position:absolute;left:0;text-align:left;margin-left:89.2pt;margin-top:9.4pt;width:12.25pt;height:20.35pt;z-index:251660288;mso-width-relative:margin;mso-height-relative:margin" stroked="f">
            <v:textbox>
              <w:txbxContent>
                <w:p w14:paraId="657AF6C5" w14:textId="77777777" w:rsidR="002E0272" w:rsidRPr="002E0272" w:rsidRDefault="002E0272">
                  <w:pPr>
                    <w:rPr>
                      <w:sz w:val="24"/>
                      <w:szCs w:val="24"/>
                    </w:rPr>
                  </w:pPr>
                  <w:r w:rsidRPr="002E0272">
                    <w:rPr>
                      <w:sz w:val="24"/>
                      <w:szCs w:val="24"/>
                    </w:rPr>
                    <w:t>†</w:t>
                  </w:r>
                </w:p>
              </w:txbxContent>
            </v:textbox>
          </v:shape>
        </w:pict>
      </w:r>
    </w:p>
    <w:p w14:paraId="4769EBE7" w14:textId="77777777" w:rsidR="00362317" w:rsidRDefault="009961C9" w:rsidP="00AF5877">
      <w:pPr>
        <w:jc w:val="center"/>
      </w:pPr>
      <w:r>
        <w:rPr>
          <w:lang w:eastAsia="zh-TW"/>
        </w:rPr>
        <w:t xml:space="preserve">      Taro</w:t>
      </w:r>
      <w:r w:rsidR="005C6630">
        <w:rPr>
          <w:rFonts w:hint="eastAsia"/>
          <w:lang w:eastAsia="zh-TW"/>
        </w:rPr>
        <w:t xml:space="preserve"> K</w:t>
      </w:r>
      <w:r>
        <w:rPr>
          <w:lang w:eastAsia="zh-TW"/>
        </w:rPr>
        <w:t>OSEN</w:t>
      </w:r>
      <w:r w:rsidR="005C6630">
        <w:rPr>
          <w:rFonts w:hint="eastAsia"/>
          <w:lang w:eastAsia="zh-TW"/>
        </w:rPr>
        <w:t xml:space="preserve">, </w:t>
      </w:r>
      <w:r>
        <w:rPr>
          <w:lang w:eastAsia="zh-TW"/>
        </w:rPr>
        <w:t>Hanako</w:t>
      </w:r>
      <w:r w:rsidR="005C6630">
        <w:rPr>
          <w:rFonts w:hint="eastAsia"/>
          <w:lang w:eastAsia="zh-TW"/>
        </w:rPr>
        <w:t xml:space="preserve"> </w:t>
      </w:r>
      <w:r>
        <w:rPr>
          <w:lang w:eastAsia="zh-TW"/>
        </w:rPr>
        <w:t>TSUYAMA</w:t>
      </w:r>
      <w:r w:rsidR="002E0272">
        <w:rPr>
          <w:rFonts w:hint="eastAsia"/>
        </w:rPr>
        <w:t xml:space="preserve">  </w:t>
      </w:r>
      <w:proofErr w:type="gramStart"/>
      <w:r w:rsidR="002E0272">
        <w:rPr>
          <w:rFonts w:hint="eastAsia"/>
        </w:rPr>
        <w:t xml:space="preserve">   (</w:t>
      </w:r>
      <w:proofErr w:type="gramEnd"/>
      <w:r w:rsidR="002E0272">
        <w:t>†</w:t>
      </w:r>
      <w:r w:rsidR="00D2204C">
        <w:rPr>
          <w:rFonts w:hint="eastAsia"/>
        </w:rPr>
        <w:t>:presente</w:t>
      </w:r>
      <w:r w:rsidR="002E0272">
        <w:rPr>
          <w:rFonts w:hint="eastAsia"/>
        </w:rPr>
        <w:t>r)</w:t>
      </w:r>
    </w:p>
    <w:p w14:paraId="458BC839" w14:textId="77777777" w:rsidR="00711944" w:rsidRDefault="00CF18DC" w:rsidP="00AF5877">
      <w:pPr>
        <w:jc w:val="center"/>
      </w:pPr>
      <w:r>
        <w:rPr>
          <w:rFonts w:hint="eastAsia"/>
        </w:rPr>
        <w:t>Department of Liaisons</w:t>
      </w:r>
      <w:r w:rsidR="005E09C5">
        <w:rPr>
          <w:rFonts w:hint="eastAsia"/>
        </w:rPr>
        <w:t xml:space="preserve">, </w:t>
      </w:r>
      <w:proofErr w:type="spellStart"/>
      <w:r>
        <w:rPr>
          <w:rFonts w:hint="eastAsia"/>
        </w:rPr>
        <w:t>Tsuyama</w:t>
      </w:r>
      <w:proofErr w:type="spellEnd"/>
      <w:r>
        <w:rPr>
          <w:rFonts w:hint="eastAsia"/>
        </w:rPr>
        <w:t xml:space="preserve"> National College of Technology</w:t>
      </w:r>
    </w:p>
    <w:p w14:paraId="1E8CFB3D" w14:textId="77777777" w:rsidR="005C6630" w:rsidRDefault="005C6630" w:rsidP="00AF5877">
      <w:pPr>
        <w:jc w:val="center"/>
      </w:pPr>
      <w:proofErr w:type="spellStart"/>
      <w:r>
        <w:rPr>
          <w:rFonts w:hint="eastAsia"/>
        </w:rPr>
        <w:t>koga</w:t>
      </w:r>
      <w:proofErr w:type="spellEnd"/>
      <w:r>
        <w:rPr>
          <w:rFonts w:hint="eastAsia"/>
        </w:rPr>
        <w:t>[_a</w:t>
      </w:r>
      <w:proofErr w:type="gramStart"/>
      <w:r>
        <w:rPr>
          <w:rFonts w:hint="eastAsia"/>
        </w:rPr>
        <w:t>_]tsuyama-ct.ac.jp</w:t>
      </w:r>
      <w:proofErr w:type="gramEnd"/>
    </w:p>
    <w:p w14:paraId="218F2668" w14:textId="77777777" w:rsidR="005C6630" w:rsidRPr="005C6630" w:rsidRDefault="005C6630">
      <w:r>
        <w:rPr>
          <w:rFonts w:hint="eastAsia"/>
        </w:rPr>
        <w:t>(</w:t>
      </w:r>
      <w:proofErr w:type="gramStart"/>
      <w:r>
        <w:rPr>
          <w:rFonts w:hint="eastAsia"/>
        </w:rPr>
        <w:t xml:space="preserve">The </w:t>
      </w:r>
      <w:r>
        <w:t>”</w:t>
      </w:r>
      <w:proofErr w:type="gramEnd"/>
      <w:r>
        <w:rPr>
          <w:rFonts w:hint="eastAsia"/>
        </w:rPr>
        <w:t>@</w:t>
      </w:r>
      <w:r>
        <w:t>”</w:t>
      </w:r>
      <w:r w:rsidR="00D2204C">
        <w:rPr>
          <w:rFonts w:hint="eastAsia"/>
        </w:rPr>
        <w:t xml:space="preserve"> characte</w:t>
      </w:r>
      <w:r>
        <w:rPr>
          <w:rFonts w:hint="eastAsia"/>
        </w:rPr>
        <w:t xml:space="preserve">r should be replaced with </w:t>
      </w:r>
      <w:r>
        <w:t>“</w:t>
      </w:r>
      <w:r>
        <w:rPr>
          <w:rFonts w:hint="eastAsia"/>
        </w:rPr>
        <w:t>[_a_]</w:t>
      </w:r>
      <w:r>
        <w:t>”</w:t>
      </w:r>
      <w:r>
        <w:rPr>
          <w:rFonts w:hint="eastAsia"/>
        </w:rPr>
        <w:t xml:space="preserve"> to prevent  </w:t>
      </w:r>
      <w:r>
        <w:t>“</w:t>
      </w:r>
      <w:r>
        <w:rPr>
          <w:rFonts w:hint="eastAsia"/>
        </w:rPr>
        <w:t>spam mails</w:t>
      </w:r>
      <w:r>
        <w:t>”</w:t>
      </w:r>
      <w:r>
        <w:rPr>
          <w:rFonts w:hint="eastAsia"/>
        </w:rPr>
        <w:t>.)</w:t>
      </w:r>
    </w:p>
    <w:p w14:paraId="0BC1360E" w14:textId="77777777" w:rsidR="00711944" w:rsidRDefault="00711944">
      <w:r w:rsidRPr="00487FD0">
        <w:rPr>
          <w:rFonts w:hint="eastAsia"/>
          <w:b/>
        </w:rPr>
        <w:t>Keyword</w:t>
      </w:r>
      <w:r w:rsidR="005C6630" w:rsidRPr="00487FD0">
        <w:rPr>
          <w:rFonts w:hint="eastAsia"/>
          <w:b/>
        </w:rPr>
        <w:t>s</w:t>
      </w:r>
      <w:r w:rsidRPr="00487FD0">
        <w:rPr>
          <w:rFonts w:hint="eastAsia"/>
          <w:b/>
        </w:rPr>
        <w:t xml:space="preserve">　：</w:t>
      </w:r>
      <w:r w:rsidR="005C6630">
        <w:rPr>
          <w:rFonts w:hint="eastAsia"/>
        </w:rPr>
        <w:t>EMC, common-mode, imbalance-structure, EM radiation</w:t>
      </w:r>
    </w:p>
    <w:p w14:paraId="0E437B80" w14:textId="77777777" w:rsidR="0018571D" w:rsidRDefault="003D7BED" w:rsidP="003D7BED">
      <w:pPr>
        <w:spacing w:line="280" w:lineRule="exact"/>
        <w:rPr>
          <w:sz w:val="20"/>
        </w:rPr>
        <w:sectPr w:rsidR="0018571D" w:rsidSect="00B76957">
          <w:headerReference w:type="default" r:id="rId7"/>
          <w:type w:val="continuous"/>
          <w:pgSz w:w="11906" w:h="16838"/>
          <w:pgMar w:top="1985" w:right="1701" w:bottom="1701" w:left="1701" w:header="851" w:footer="992" w:gutter="0"/>
          <w:cols w:space="425"/>
          <w:docGrid w:type="lines" w:linePitch="360"/>
        </w:sectPr>
      </w:pPr>
      <w:r>
        <w:rPr>
          <w:rFonts w:hint="eastAsia"/>
          <w:b/>
          <w:sz w:val="20"/>
        </w:rPr>
        <w:t>Abstract</w:t>
      </w:r>
      <w:r w:rsidR="00487FD0">
        <w:rPr>
          <w:rFonts w:hint="eastAsia"/>
          <w:b/>
          <w:sz w:val="20"/>
        </w:rPr>
        <w:t>（</w:t>
      </w:r>
      <w:r w:rsidR="00AF5877">
        <w:rPr>
          <w:rFonts w:hint="eastAsia"/>
          <w:b/>
          <w:sz w:val="20"/>
        </w:rPr>
        <w:t xml:space="preserve">around </w:t>
      </w:r>
      <w:r w:rsidR="00487FD0">
        <w:rPr>
          <w:rFonts w:hint="eastAsia"/>
          <w:b/>
          <w:sz w:val="20"/>
        </w:rPr>
        <w:t>200</w:t>
      </w:r>
      <w:r w:rsidR="00AF5877">
        <w:rPr>
          <w:rFonts w:hint="eastAsia"/>
          <w:b/>
          <w:sz w:val="20"/>
        </w:rPr>
        <w:t xml:space="preserve"> words</w:t>
      </w:r>
      <w:r w:rsidR="00487FD0">
        <w:rPr>
          <w:rFonts w:hint="eastAsia"/>
          <w:b/>
          <w:sz w:val="20"/>
        </w:rPr>
        <w:t>）</w:t>
      </w:r>
      <w:r>
        <w:rPr>
          <w:rFonts w:hint="eastAsia"/>
          <w:sz w:val="20"/>
        </w:rPr>
        <w:t xml:space="preserve">  </w:t>
      </w:r>
    </w:p>
    <w:p w14:paraId="4DE58AC2" w14:textId="77777777" w:rsidR="00362317" w:rsidRDefault="003D7BED" w:rsidP="003D7BED">
      <w:pPr>
        <w:spacing w:line="280" w:lineRule="exact"/>
        <w:rPr>
          <w:sz w:val="20"/>
        </w:rPr>
      </w:pPr>
      <w:r>
        <w:rPr>
          <w:rFonts w:hint="eastAsia"/>
          <w:sz w:val="20"/>
        </w:rPr>
        <w:t xml:space="preserve">The common mode is excited when two </w:t>
      </w:r>
      <w:r>
        <w:rPr>
          <w:sz w:val="20"/>
        </w:rPr>
        <w:t>transmission</w:t>
      </w:r>
      <w:r>
        <w:rPr>
          <w:rFonts w:hint="eastAsia"/>
          <w:sz w:val="20"/>
        </w:rPr>
        <w:t xml:space="preserve"> lines with different cross-sectional profiles are </w:t>
      </w:r>
      <w:r>
        <w:rPr>
          <w:sz w:val="20"/>
        </w:rPr>
        <w:t>connected</w:t>
      </w:r>
      <w:r>
        <w:rPr>
          <w:rFonts w:hint="eastAsia"/>
          <w:sz w:val="20"/>
        </w:rPr>
        <w:t xml:space="preserve"> even if perfect differential mode current is injected into one of the lines. The exited common mode current further excite the noise radiation, that is the prime interest when an engineer develops a high-speed digital </w:t>
      </w:r>
      <w:r>
        <w:rPr>
          <w:sz w:val="20"/>
        </w:rPr>
        <w:t>electronic</w:t>
      </w:r>
      <w:r>
        <w:rPr>
          <w:rFonts w:hint="eastAsia"/>
          <w:sz w:val="20"/>
        </w:rPr>
        <w:t xml:space="preserve"> device for commercial use.  A simple model to evaluate the quantity of the common mode current/voltage is proposed and </w:t>
      </w:r>
      <w:r>
        <w:rPr>
          <w:sz w:val="20"/>
        </w:rPr>
        <w:t>exemplified</w:t>
      </w:r>
      <w:r>
        <w:rPr>
          <w:rFonts w:hint="eastAsia"/>
          <w:sz w:val="20"/>
        </w:rPr>
        <w:t xml:space="preserve"> of its convenience.  </w:t>
      </w:r>
      <w:r w:rsidR="00362317">
        <w:rPr>
          <w:rFonts w:hint="eastAsia"/>
          <w:sz w:val="20"/>
        </w:rPr>
        <w:t xml:space="preserve">Degree of the imbalance is accounted by </w:t>
      </w:r>
      <w:r w:rsidR="00362317">
        <w:rPr>
          <w:sz w:val="20"/>
        </w:rPr>
        <w:t>the</w:t>
      </w:r>
      <w:r w:rsidR="00362317">
        <w:rPr>
          <w:rFonts w:hint="eastAsia"/>
          <w:sz w:val="20"/>
        </w:rPr>
        <w:t xml:space="preserve"> notion of </w:t>
      </w:r>
      <w:r w:rsidR="00362317">
        <w:rPr>
          <w:sz w:val="20"/>
        </w:rPr>
        <w:t>“</w:t>
      </w:r>
      <w:r w:rsidR="00362317">
        <w:rPr>
          <w:rFonts w:hint="eastAsia"/>
          <w:sz w:val="20"/>
        </w:rPr>
        <w:t>current division factor</w:t>
      </w:r>
      <w:r w:rsidR="00362317">
        <w:rPr>
          <w:sz w:val="20"/>
        </w:rPr>
        <w:t>”</w:t>
      </w:r>
      <w:r w:rsidR="00362317">
        <w:rPr>
          <w:rFonts w:hint="eastAsia"/>
          <w:sz w:val="20"/>
        </w:rPr>
        <w:t xml:space="preserve"> that express the </w:t>
      </w:r>
      <w:r w:rsidR="00362317">
        <w:rPr>
          <w:sz w:val="20"/>
        </w:rPr>
        <w:t xml:space="preserve">ratio of currents on each line of the couple of the cable, when the cable is </w:t>
      </w:r>
      <w:r w:rsidR="00362317">
        <w:rPr>
          <w:sz w:val="20"/>
        </w:rPr>
        <w:t>excited onl</w:t>
      </w:r>
      <w:r w:rsidR="00362317">
        <w:rPr>
          <w:rFonts w:hint="eastAsia"/>
          <w:sz w:val="20"/>
        </w:rPr>
        <w:t>y</w:t>
      </w:r>
      <w:r w:rsidR="00362317">
        <w:rPr>
          <w:sz w:val="20"/>
        </w:rPr>
        <w:t xml:space="preserve"> with a common mode current, with no normal mode current. </w:t>
      </w:r>
      <w:r>
        <w:rPr>
          <w:rFonts w:hint="eastAsia"/>
          <w:sz w:val="20"/>
        </w:rPr>
        <w:t xml:space="preserve">The issue is made under the proposition that the common mode is very weak in comparison to </w:t>
      </w:r>
      <w:r>
        <w:rPr>
          <w:sz w:val="20"/>
        </w:rPr>
        <w:t>that</w:t>
      </w:r>
      <w:r>
        <w:rPr>
          <w:rFonts w:hint="eastAsia"/>
          <w:sz w:val="20"/>
        </w:rPr>
        <w:t xml:space="preserve"> of differential mode in an actual electric deice which is </w:t>
      </w:r>
      <w:r>
        <w:rPr>
          <w:sz w:val="20"/>
        </w:rPr>
        <w:t>conscious</w:t>
      </w:r>
      <w:r>
        <w:rPr>
          <w:rFonts w:hint="eastAsia"/>
          <w:sz w:val="20"/>
        </w:rPr>
        <w:t xml:space="preserve"> of EMI: TEM mode is almost retained over the two lines, though the strict evaluation is </w:t>
      </w:r>
      <w:r>
        <w:rPr>
          <w:sz w:val="20"/>
        </w:rPr>
        <w:t>sacrificed</w:t>
      </w:r>
      <w:r>
        <w:rPr>
          <w:rFonts w:hint="eastAsia"/>
          <w:sz w:val="20"/>
        </w:rPr>
        <w:t xml:space="preserve"> here. More rigorous evaluation requires more terms with tedious process which cancels the merit of brief guide as called </w:t>
      </w:r>
      <w:r>
        <w:rPr>
          <w:sz w:val="20"/>
        </w:rPr>
        <w:t>“</w:t>
      </w:r>
      <w:r>
        <w:rPr>
          <w:rFonts w:hint="eastAsia"/>
          <w:sz w:val="20"/>
        </w:rPr>
        <w:t>rule of thumb</w:t>
      </w:r>
      <w:r>
        <w:rPr>
          <w:sz w:val="20"/>
        </w:rPr>
        <w:t>”</w:t>
      </w:r>
      <w:r>
        <w:rPr>
          <w:rFonts w:hint="eastAsia"/>
          <w:sz w:val="20"/>
        </w:rPr>
        <w:t xml:space="preserve">. </w:t>
      </w:r>
      <w:r w:rsidR="00362317">
        <w:rPr>
          <w:sz w:val="20"/>
        </w:rPr>
        <w:t>This idea clearly explains</w:t>
      </w:r>
      <w:r>
        <w:rPr>
          <w:rFonts w:hint="eastAsia"/>
          <w:sz w:val="20"/>
        </w:rPr>
        <w:t xml:space="preserve"> how the common-mode is exited and gives engineers an approach to suppress the radiation</w:t>
      </w:r>
      <w:r w:rsidR="00F81339">
        <w:rPr>
          <w:rFonts w:hint="eastAsia"/>
          <w:sz w:val="20"/>
        </w:rPr>
        <w:t>.</w:t>
      </w:r>
    </w:p>
    <w:p w14:paraId="7A090339" w14:textId="77777777" w:rsidR="0018571D" w:rsidRDefault="0018571D" w:rsidP="00362317">
      <w:pPr>
        <w:spacing w:line="280" w:lineRule="exact"/>
        <w:rPr>
          <w:sz w:val="20"/>
        </w:rPr>
        <w:sectPr w:rsidR="0018571D" w:rsidSect="0018571D">
          <w:type w:val="continuous"/>
          <w:pgSz w:w="11906" w:h="16838"/>
          <w:pgMar w:top="1985" w:right="1701" w:bottom="1701" w:left="1701" w:header="851" w:footer="992" w:gutter="0"/>
          <w:cols w:num="2" w:space="425"/>
          <w:docGrid w:type="lines" w:linePitch="360"/>
        </w:sectPr>
      </w:pPr>
    </w:p>
    <w:p w14:paraId="46CD9E3D" w14:textId="77777777" w:rsidR="00711944" w:rsidRDefault="003D7BED" w:rsidP="00362317">
      <w:pPr>
        <w:spacing w:line="280" w:lineRule="exact"/>
      </w:pPr>
      <w:r>
        <w:rPr>
          <w:rFonts w:hint="eastAsia"/>
          <w:sz w:val="20"/>
        </w:rPr>
        <w:t>.</w:t>
      </w:r>
      <w:r w:rsidR="00362317" w:rsidRPr="00362317">
        <w:t xml:space="preserve"> </w:t>
      </w:r>
    </w:p>
    <w:p w14:paraId="593C5FCD" w14:textId="77777777" w:rsidR="005E09C5" w:rsidRDefault="00362317">
      <w:r>
        <w:rPr>
          <w:rFonts w:hint="eastAsia"/>
        </w:rPr>
        <w:t>(</w:t>
      </w:r>
      <w:r w:rsidR="008A17E8">
        <w:rPr>
          <w:rFonts w:hint="eastAsia"/>
        </w:rPr>
        <w:t>Two power point pages have</w:t>
      </w:r>
      <w:r w:rsidR="00AF5877">
        <w:rPr>
          <w:rFonts w:hint="eastAsia"/>
        </w:rPr>
        <w:t xml:space="preserve"> be</w:t>
      </w:r>
      <w:r w:rsidR="008A17E8">
        <w:rPr>
          <w:rFonts w:hint="eastAsia"/>
        </w:rPr>
        <w:t>en</w:t>
      </w:r>
      <w:r w:rsidR="00AF5877">
        <w:rPr>
          <w:rFonts w:hint="eastAsia"/>
        </w:rPr>
        <w:t xml:space="preserve"> </w:t>
      </w:r>
      <w:r w:rsidR="00AF5877">
        <w:t>attached</w:t>
      </w:r>
      <w:r w:rsidR="00AF5877">
        <w:rPr>
          <w:rFonts w:hint="eastAsia"/>
        </w:rPr>
        <w:t>.</w:t>
      </w:r>
      <w:r>
        <w:rPr>
          <w:rFonts w:hint="eastAsia"/>
        </w:rPr>
        <w:t>)</w:t>
      </w:r>
    </w:p>
    <w:p w14:paraId="7C342CE9" w14:textId="77777777" w:rsidR="005E09C5" w:rsidRDefault="00362317">
      <w:r w:rsidRPr="005C6630">
        <w:rPr>
          <w:noProof/>
        </w:rPr>
        <w:drawing>
          <wp:inline distT="0" distB="0" distL="0" distR="0" wp14:anchorId="53B1B5FB" wp14:editId="639F3014">
            <wp:extent cx="2640330" cy="1980249"/>
            <wp:effectExtent l="19050" t="19050" r="26670" b="20001"/>
            <wp:docPr id="1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641272" cy="1980955"/>
                    </a:xfrm>
                    <a:prstGeom prst="rect">
                      <a:avLst/>
                    </a:prstGeom>
                    <a:noFill/>
                    <a:ln w="9525">
                      <a:solidFill>
                        <a:schemeClr val="tx1"/>
                      </a:solidFill>
                      <a:miter lim="800000"/>
                      <a:headEnd/>
                      <a:tailEnd/>
                    </a:ln>
                  </pic:spPr>
                </pic:pic>
              </a:graphicData>
            </a:graphic>
          </wp:inline>
        </w:drawing>
      </w:r>
      <w:r w:rsidRPr="005C6630">
        <w:rPr>
          <w:noProof/>
        </w:rPr>
        <w:drawing>
          <wp:inline distT="0" distB="0" distL="0" distR="0" wp14:anchorId="6D045D8F" wp14:editId="5B861F2C">
            <wp:extent cx="2649855" cy="1987391"/>
            <wp:effectExtent l="19050" t="19050" r="17145" b="12859"/>
            <wp:docPr id="1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652658" cy="1989493"/>
                    </a:xfrm>
                    <a:prstGeom prst="rect">
                      <a:avLst/>
                    </a:prstGeom>
                    <a:noFill/>
                    <a:ln w="9525">
                      <a:solidFill>
                        <a:schemeClr val="tx1"/>
                      </a:solidFill>
                      <a:miter lim="800000"/>
                      <a:headEnd/>
                      <a:tailEnd/>
                    </a:ln>
                  </pic:spPr>
                </pic:pic>
              </a:graphicData>
            </a:graphic>
          </wp:inline>
        </w:drawing>
      </w:r>
    </w:p>
    <w:p w14:paraId="78ABE6FE" w14:textId="77777777" w:rsidR="005E09C5" w:rsidRDefault="005E09C5"/>
    <w:sectPr w:rsidR="005E09C5" w:rsidSect="00B76957">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CDD6C" w14:textId="77777777" w:rsidR="007E4E8A" w:rsidRDefault="007E4E8A" w:rsidP="00050CA2">
      <w:r>
        <w:separator/>
      </w:r>
    </w:p>
  </w:endnote>
  <w:endnote w:type="continuationSeparator" w:id="0">
    <w:p w14:paraId="40F4555E" w14:textId="77777777" w:rsidR="007E4E8A" w:rsidRDefault="007E4E8A" w:rsidP="0005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6CE4D" w14:textId="77777777" w:rsidR="007E4E8A" w:rsidRDefault="007E4E8A" w:rsidP="00050CA2">
      <w:r>
        <w:separator/>
      </w:r>
    </w:p>
  </w:footnote>
  <w:footnote w:type="continuationSeparator" w:id="0">
    <w:p w14:paraId="12E9F05F" w14:textId="77777777" w:rsidR="007E4E8A" w:rsidRDefault="007E4E8A" w:rsidP="00050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4D457" w14:textId="0F457694" w:rsidR="00AF5877" w:rsidRPr="00AF5877" w:rsidRDefault="00CF18DC" w:rsidP="005E11B1">
    <w:pPr>
      <w:pStyle w:val="a3"/>
      <w:tabs>
        <w:tab w:val="clear" w:pos="4252"/>
      </w:tabs>
      <w:rPr>
        <w:sz w:val="24"/>
        <w:szCs w:val="24"/>
      </w:rPr>
    </w:pPr>
    <w:r>
      <w:rPr>
        <w:rFonts w:hint="eastAsia"/>
        <w:sz w:val="24"/>
        <w:szCs w:val="24"/>
      </w:rPr>
      <w:t>An e</w:t>
    </w:r>
    <w:r w:rsidR="00AF5877" w:rsidRPr="00AF5877">
      <w:rPr>
        <w:rFonts w:hint="eastAsia"/>
        <w:sz w:val="24"/>
        <w:szCs w:val="24"/>
      </w:rPr>
      <w:t>x</w:t>
    </w:r>
    <w:r>
      <w:rPr>
        <w:rFonts w:hint="eastAsia"/>
        <w:sz w:val="24"/>
        <w:szCs w:val="24"/>
      </w:rPr>
      <w:t>a</w:t>
    </w:r>
    <w:r w:rsidR="00AF5877" w:rsidRPr="00AF5877">
      <w:rPr>
        <w:rFonts w:hint="eastAsia"/>
        <w:sz w:val="24"/>
        <w:szCs w:val="24"/>
      </w:rPr>
      <w:t xml:space="preserve">mple of </w:t>
    </w:r>
    <w:r>
      <w:rPr>
        <w:rFonts w:hint="eastAsia"/>
        <w:sz w:val="24"/>
        <w:szCs w:val="24"/>
      </w:rPr>
      <w:t>the</w:t>
    </w:r>
    <w:r w:rsidR="00AF5877" w:rsidRPr="00AF5877">
      <w:rPr>
        <w:rFonts w:hint="eastAsia"/>
        <w:sz w:val="24"/>
        <w:szCs w:val="24"/>
      </w:rPr>
      <w:t xml:space="preserve"> abstract</w:t>
    </w:r>
    <w:r w:rsidR="005E11B1">
      <w:rPr>
        <w:sz w:val="24"/>
        <w:szCs w:val="24"/>
      </w:rPr>
      <w:tab/>
    </w:r>
    <w:r w:rsidR="00273E70">
      <w:rPr>
        <w:rFonts w:hint="eastAsia"/>
        <w:sz w:val="24"/>
        <w:szCs w:val="24"/>
      </w:rPr>
      <w:t>別紙</w:t>
    </w:r>
    <w:r w:rsidR="00273E70">
      <w:rPr>
        <w:rFonts w:hint="eastAsia"/>
        <w:sz w:val="24"/>
        <w:szCs w:val="24"/>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11944"/>
    <w:rsid w:val="00050CA2"/>
    <w:rsid w:val="000B789B"/>
    <w:rsid w:val="00161AB8"/>
    <w:rsid w:val="0018571D"/>
    <w:rsid w:val="00273E70"/>
    <w:rsid w:val="002B2986"/>
    <w:rsid w:val="002E0272"/>
    <w:rsid w:val="00355295"/>
    <w:rsid w:val="00362317"/>
    <w:rsid w:val="003D7BED"/>
    <w:rsid w:val="003F2A91"/>
    <w:rsid w:val="00487FD0"/>
    <w:rsid w:val="005C6630"/>
    <w:rsid w:val="005E09C5"/>
    <w:rsid w:val="005E11B1"/>
    <w:rsid w:val="0060541F"/>
    <w:rsid w:val="00675E8D"/>
    <w:rsid w:val="006900A2"/>
    <w:rsid w:val="006C110B"/>
    <w:rsid w:val="006D7DA5"/>
    <w:rsid w:val="00711944"/>
    <w:rsid w:val="007745C5"/>
    <w:rsid w:val="007E2382"/>
    <w:rsid w:val="007E4E8A"/>
    <w:rsid w:val="008A17E8"/>
    <w:rsid w:val="008B3A88"/>
    <w:rsid w:val="008F3F16"/>
    <w:rsid w:val="009961C9"/>
    <w:rsid w:val="00A32C71"/>
    <w:rsid w:val="00AF5877"/>
    <w:rsid w:val="00B76957"/>
    <w:rsid w:val="00CF18DC"/>
    <w:rsid w:val="00D1568A"/>
    <w:rsid w:val="00D2204C"/>
    <w:rsid w:val="00E242A8"/>
    <w:rsid w:val="00F81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24360FA"/>
  <w15:docId w15:val="{7E327299-CE7B-429A-9E2B-781AEF093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2A91"/>
    <w:pPr>
      <w:widowControl w:val="0"/>
      <w:jc w:val="both"/>
    </w:pPr>
  </w:style>
  <w:style w:type="paragraph" w:styleId="1">
    <w:name w:val="heading 1"/>
    <w:basedOn w:val="a"/>
    <w:next w:val="a"/>
    <w:link w:val="10"/>
    <w:uiPriority w:val="9"/>
    <w:qFormat/>
    <w:rsid w:val="005C663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0CA2"/>
    <w:pPr>
      <w:tabs>
        <w:tab w:val="center" w:pos="4252"/>
        <w:tab w:val="right" w:pos="8504"/>
      </w:tabs>
      <w:snapToGrid w:val="0"/>
    </w:pPr>
  </w:style>
  <w:style w:type="character" w:customStyle="1" w:styleId="a4">
    <w:name w:val="ヘッダー (文字)"/>
    <w:basedOn w:val="a0"/>
    <w:link w:val="a3"/>
    <w:uiPriority w:val="99"/>
    <w:rsid w:val="00050CA2"/>
  </w:style>
  <w:style w:type="paragraph" w:styleId="a5">
    <w:name w:val="footer"/>
    <w:basedOn w:val="a"/>
    <w:link w:val="a6"/>
    <w:uiPriority w:val="99"/>
    <w:unhideWhenUsed/>
    <w:rsid w:val="00050CA2"/>
    <w:pPr>
      <w:tabs>
        <w:tab w:val="center" w:pos="4252"/>
        <w:tab w:val="right" w:pos="8504"/>
      </w:tabs>
      <w:snapToGrid w:val="0"/>
    </w:pPr>
  </w:style>
  <w:style w:type="character" w:customStyle="1" w:styleId="a6">
    <w:name w:val="フッター (文字)"/>
    <w:basedOn w:val="a0"/>
    <w:link w:val="a5"/>
    <w:uiPriority w:val="99"/>
    <w:rsid w:val="00050CA2"/>
  </w:style>
  <w:style w:type="paragraph" w:customStyle="1" w:styleId="a7">
    <w:name w:val="タイトル"/>
    <w:basedOn w:val="1"/>
    <w:rsid w:val="005C6630"/>
    <w:pPr>
      <w:spacing w:beforeLines="20" w:line="440" w:lineRule="exact"/>
      <w:jc w:val="center"/>
    </w:pPr>
    <w:rPr>
      <w:rFonts w:ascii="Times New Roman" w:eastAsia="ＭＳ 明朝" w:hAnsi="Times New Roman" w:cs="Times New Roman"/>
      <w:sz w:val="32"/>
    </w:rPr>
  </w:style>
  <w:style w:type="character" w:customStyle="1" w:styleId="10">
    <w:name w:val="見出し 1 (文字)"/>
    <w:basedOn w:val="a0"/>
    <w:link w:val="1"/>
    <w:uiPriority w:val="9"/>
    <w:rsid w:val="005C6630"/>
    <w:rPr>
      <w:rFonts w:asciiTheme="majorHAnsi" w:eastAsiaTheme="majorEastAsia" w:hAnsiTheme="majorHAnsi" w:cstheme="majorBidi"/>
      <w:sz w:val="24"/>
      <w:szCs w:val="24"/>
    </w:rPr>
  </w:style>
  <w:style w:type="paragraph" w:styleId="a8">
    <w:name w:val="Balloon Text"/>
    <w:basedOn w:val="a"/>
    <w:link w:val="a9"/>
    <w:uiPriority w:val="99"/>
    <w:semiHidden/>
    <w:unhideWhenUsed/>
    <w:rsid w:val="005C66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66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1228B-C262-4190-A01E-5D56180E1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252</Words>
  <Characters>1440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se</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hara-n</dc:creator>
  <cp:lastModifiedBy>Kanda Rieko</cp:lastModifiedBy>
  <cp:revision>11</cp:revision>
  <cp:lastPrinted>2014-07-11T00:49:00Z</cp:lastPrinted>
  <dcterms:created xsi:type="dcterms:W3CDTF">2010-09-22T15:14:00Z</dcterms:created>
  <dcterms:modified xsi:type="dcterms:W3CDTF">2021-10-19T02:13:00Z</dcterms:modified>
</cp:coreProperties>
</file>